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B267E4" w14:paraId="4F9450A3" w14:textId="454CF0B9">
            <w:r w:rsidRPr="00B267E4">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093CA9" w:rsidP="00D448D0" w:rsidRDefault="001507AC" w14:paraId="313A697B" w14:textId="62F8247B">
            <w:r w:rsidRPr="001507AC">
              <w:t>CFS EC 00</w:t>
            </w:r>
            <w:r w:rsidR="00126643">
              <w:t>8</w:t>
            </w:r>
            <w:r w:rsidRPr="001507AC">
              <w:t xml:space="preserve"> of 2021 integrated in CFS EC 029 of 2014</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841C90" w14:paraId="1523C232" w14:textId="16825AC8">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C6376A" w14:paraId="4E49657F" w14:textId="7D06234B">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6F84F2F2"/>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77777777"/>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77777777"/>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1507AC" w14:paraId="0A5E7122" w14:textId="05E1175B">
            <w:r>
              <w:t>X</w:t>
            </w:r>
          </w:p>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2749B2A9"/>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093CA9" w14:paraId="18257824" w14:textId="2CD2F9E9"/>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701436" w14:paraId="54354EEF" w14:textId="11B79268">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701436" w14:paraId="22A2FF1A" w14:textId="6936222C">
            <w:pPr>
              <w:rPr>
                <w:color w:val="000000" w:themeColor="text1"/>
              </w:rPr>
            </w:pPr>
            <w:r>
              <w:rPr>
                <w:color w:val="000000" w:themeColor="text1"/>
              </w:rPr>
              <w:t>2021</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690EF4" w14:paraId="5AD2325B" w14:textId="5B79E957">
            <w:pPr>
              <w:rPr>
                <w:color w:val="000000" w:themeColor="text1"/>
              </w:rPr>
            </w:pPr>
            <w:r>
              <w:rPr>
                <w:color w:val="000000" w:themeColor="text1"/>
              </w:rPr>
              <w:t>2021</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160D18" w14:paraId="1A1B9D26" w14:textId="052C0FEE">
            <w:pPr>
              <w:rPr>
                <w:color w:val="000000" w:themeColor="text1"/>
              </w:rPr>
            </w:pPr>
            <w:r w:rsidRPr="00160D18">
              <w:rPr>
                <w:color w:val="000000" w:themeColor="text1"/>
              </w:rPr>
              <w:t>Amendments to regulations by May 25, 2021; implementation of custody and information publication by December 31, 2021; first publication of prospectuses and technical sheets, as well as submission of statements and reports, scheduled for January and March 2022, respectively.</w:t>
            </w: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930ADC" w14:paraId="7961F236" w14:textId="48E9AC11">
            <w:r w:rsidRPr="00930ADC">
              <w:t>Independent regulatory or supervisory body (Superintendencia Financiera de Colombia)</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A96B1A" w14:paraId="58D97C26" w14:textId="0A054723">
            <w:r w:rsidRPr="00930ADC">
              <w:t>Superintendencia Financiera de Colombia</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A96B1A" w14:paraId="6DCCE4F4" w14:textId="0786B2DB">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lastRenderedPageBreak/>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A96B1A" w14:paraId="54F7EBC8" w14:textId="55882452">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4E171D" w14:paraId="2C2128DB" w14:textId="053633E3">
            <w:pPr>
              <w:keepNext/>
              <w:rPr>
                <w:color w:val="000000" w:themeColor="text1"/>
              </w:rPr>
            </w:pPr>
            <w:r w:rsidRPr="004E171D">
              <w:rPr>
                <w:color w:val="000000" w:themeColor="text1"/>
              </w:rPr>
              <w:t>Periodic reporting through specific formats</w:t>
            </w:r>
            <w:r>
              <w:rPr>
                <w:color w:val="000000" w:themeColor="text1"/>
              </w:rPr>
              <w:t xml:space="preserve"> </w:t>
            </w:r>
            <w:r w:rsidRPr="004E171D">
              <w:rPr>
                <w:color w:val="000000" w:themeColor="text1"/>
              </w:rPr>
              <w:t>publication of information on administrators’ websites, submission of statements to participants, and accountability reports, all under direct supervision of the Superintendencia Financiera.</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952E7F" w14:paraId="16103FAE" w14:textId="1BE1B5BB">
            <w:r>
              <w:t>X</w:t>
            </w:r>
          </w:p>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952E7F" w14:paraId="2E680148" w14:textId="3D058905">
            <w:r>
              <w:t>X</w:t>
            </w:r>
          </w:p>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4E171D" w14:paraId="4EA62294" w14:textId="0B71301C">
            <w:r>
              <w:t>X</w:t>
            </w:r>
          </w:p>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B7AD6FF"/>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952E7F" w14:paraId="7BF3CEC6" w14:textId="2296BF31">
            <w:r>
              <w:t>X</w:t>
            </w:r>
          </w:p>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952E7F" w14:paraId="4A3DBF18" w14:textId="0C318A61">
            <w:r>
              <w:t>X</w:t>
            </w:r>
          </w:p>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00952E7F" w14:paraId="5D69C390" w14:textId="63965AF7">
            <w:r>
              <w:t>X</w:t>
            </w:r>
          </w:p>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952E7F" w14:paraId="6E3BF266" w14:textId="1A2CAA9F">
            <w:r>
              <w:t>X</w:t>
            </w:r>
          </w:p>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00952E7F" w14:paraId="78F26697" w14:textId="3E9A5706">
            <w:r>
              <w:t>X</w:t>
            </w:r>
          </w:p>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00952E7F" w14:paraId="7A06765B" w14:textId="42096309">
            <w:r>
              <w:t>X</w:t>
            </w:r>
          </w:p>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00952E7F" w14:paraId="5E930EB6" w14:textId="7D2932A6">
            <w:r>
              <w:t>X</w:t>
            </w:r>
          </w:p>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00952E7F" w14:paraId="1A2F5FE9" w14:textId="3088F71A">
            <w:r>
              <w:t>X</w:t>
            </w:r>
          </w:p>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952E7F" w14:paraId="3EF422E2" w14:textId="117C7066">
            <w:r>
              <w:t>X</w:t>
            </w:r>
          </w:p>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050E2D" w14:paraId="6227ED99" w14:textId="79AE6E7C">
            <w:r>
              <w:t>X</w:t>
            </w:r>
          </w:p>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050E2D" w14:paraId="1A169030" w14:textId="33D18C60">
            <w:r>
              <w:t>X</w:t>
            </w:r>
          </w:p>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952E7F" w14:paraId="110A8798" w14:textId="2ADA8309">
            <w:r>
              <w:t>X</w:t>
            </w:r>
          </w:p>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952E7F" w14:paraId="41BABB9B" w14:textId="68697E57">
            <w:r>
              <w:t>X</w:t>
            </w:r>
          </w:p>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952E7F" w14:paraId="1B6B3D04" w14:textId="3220AEB1">
            <w:r>
              <w:t>X</w:t>
            </w:r>
          </w:p>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540F1639"/>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050E2D" w14:paraId="64B58069" w14:textId="61D47AAC">
            <w:r>
              <w:t>X</w:t>
            </w:r>
          </w:p>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B267E4"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1E6559" w14:paraId="52C1CE50" w14:textId="442878CB">
            <w:r>
              <w:t>X</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1E6559" w14:paraId="63E64AA4" w14:textId="5FAED7D0">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1E6559" w14:paraId="1D7AF7A5" w14:textId="519A3F1F">
            <w:r>
              <w:t>X</w:t>
            </w:r>
          </w:p>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1E6559" w14:paraId="32F5A553" w14:textId="25746C11">
            <w:r>
              <w:t>X</w:t>
            </w:r>
          </w:p>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1E6559" w14:paraId="1C9123DE" w14:textId="7E629FEA">
            <w:r>
              <w:t>X</w:t>
            </w:r>
          </w:p>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E2329E" w14:paraId="6475235A" w14:textId="58A1E1AE">
            <w:r w:rsidRPr="00E2329E">
              <w:t>Sanctions are determined according to the regime of the Superintendencia Financiera and applicable law.</w:t>
            </w:r>
          </w:p>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E2329E" w14:paraId="6DC43515" w14:textId="555BAACC">
            <w:pPr>
              <w:spacing w:line="276" w:lineRule="auto"/>
              <w:rPr>
                <w:color w:val="000000" w:themeColor="text1"/>
              </w:rPr>
            </w:pPr>
            <w:r>
              <w:rPr>
                <w:color w:val="000000" w:themeColor="text1"/>
              </w:rPr>
              <w:t>X</w:t>
            </w: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E2329E" w14:paraId="3F0CAF5D" w14:textId="38B4451A">
            <w:pPr>
              <w:spacing w:line="276" w:lineRule="auto"/>
              <w:rPr>
                <w:color w:val="000000" w:themeColor="text1"/>
              </w:rPr>
            </w:pPr>
            <w:r>
              <w:rPr>
                <w:color w:val="000000" w:themeColor="text1"/>
              </w:rP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E2329E" w14:paraId="6D63DD00" w14:textId="76CBCCFC">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AF1215" w14:paraId="0D7B8554" w14:textId="5D8187BE">
            <w:r>
              <w:t>X</w:t>
            </w:r>
          </w:p>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AF1215" w14:paraId="6E6F3A6D" w14:textId="4D416056">
            <w:r>
              <w:t>X</w:t>
            </w:r>
          </w:p>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AF1215" w14:paraId="1D255A36" w14:textId="601994B0">
            <w:r>
              <w:t>X</w:t>
            </w:r>
          </w:p>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AF1215" w14:paraId="02561B88" w14:textId="506A0EC9">
            <w:r>
              <w:t>X</w:t>
            </w:r>
          </w:p>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5104B1" w14:paraId="6A70A7FE" w14:textId="3D0B1DA4">
            <w:r>
              <w:t>X</w:t>
            </w:r>
          </w:p>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5104B1" w14:paraId="4749D1D6" w14:textId="6E7CF31E">
            <w:r>
              <w:t>X</w:t>
            </w:r>
          </w:p>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5104B1" w14:paraId="36F4A1DC" w14:textId="4A87BE3C">
            <w:r>
              <w:t>X</w:t>
            </w:r>
          </w:p>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576A09" w14:paraId="1BEA457F" w14:textId="3B99E09A">
            <w:r>
              <w:t>X</w:t>
            </w:r>
          </w:p>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CC1872" w14:paraId="2CA4B517" w14:textId="7DF44EB0">
            <w:r>
              <w:t>X</w:t>
            </w:r>
          </w:p>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BE0B6D" w14:paraId="72170832" w14:textId="14ED56F7">
            <w:r>
              <w:t>X</w:t>
            </w:r>
          </w:p>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BE0B6D" w14:paraId="67FCCEDA" w14:textId="7ABE28D5">
            <w:r>
              <w:t>X</w:t>
            </w:r>
          </w:p>
        </w:tc>
        <w:tc>
          <w:tcPr>
            <w:tcW w:w="1890" w:type="dxa"/>
            <w:vAlign w:val="center"/>
          </w:tcPr>
          <w:p w:rsidR="00EC42A1" w:rsidP="00DD3144" w:rsidRDefault="00EC42A1" w14:paraId="0BEDDD93" w14:textId="2EEDFAE0"/>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BE0B6D" w14:paraId="7BE07A12" w14:textId="6C315BD4">
            <w:r>
              <w:t>X</w:t>
            </w:r>
          </w:p>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CB7FCC" w14:paraId="59497AC2" w14:textId="0C5EA14B">
            <w:r>
              <w:t>X</w:t>
            </w:r>
          </w:p>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CB7FCC" w14:paraId="23DA1764" w14:textId="255E62A2">
            <w:pPr>
              <w:keepNext/>
              <w:rPr>
                <w:rFonts w:ascii="Calibri" w:hAnsi="Calibri" w:cs="Calibri"/>
              </w:rPr>
            </w:pPr>
            <w:r>
              <w:rPr>
                <w:rFonts w:ascii="Calibri" w:hAnsi="Calibri" w:cs="Calibri"/>
              </w:rPr>
              <w:t>X</w:t>
            </w: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CB7FCC" w14:paraId="00C1337B" w14:textId="30FAB705">
            <w:pPr>
              <w:keepNext/>
              <w:rPr>
                <w:rFonts w:ascii="Calibri" w:hAnsi="Calibri" w:cs="Calibri"/>
              </w:rPr>
            </w:pPr>
            <w:r>
              <w:rPr>
                <w:rFonts w:ascii="Calibri" w:hAnsi="Calibri" w:cs="Calibri"/>
              </w:rPr>
              <w:t>X</w:t>
            </w: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CB7FCC" w14:paraId="643022FE" w14:textId="1D4C1050">
            <w:pPr>
              <w:keepNext/>
              <w:rPr>
                <w:rFonts w:ascii="Calibri" w:hAnsi="Calibri" w:cs="Calibri"/>
              </w:rPr>
            </w:pPr>
            <w:r>
              <w:rPr>
                <w:rFonts w:ascii="Calibri" w:hAnsi="Calibri" w:cs="Calibri"/>
              </w:rPr>
              <w:t>X</w:t>
            </w: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CB7FCC" w14:paraId="6BFA045B" w14:textId="0A1A8A35">
            <w:pPr>
              <w:keepNext/>
              <w:rPr>
                <w:rFonts w:ascii="Calibri" w:hAnsi="Calibri" w:cs="Calibri"/>
              </w:rPr>
            </w:pPr>
            <w:r>
              <w:rPr>
                <w:rFonts w:ascii="Calibri" w:hAnsi="Calibri" w:cs="Calibri"/>
              </w:rPr>
              <w:t>X</w:t>
            </w: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CB7FCC" w14:paraId="511E94E2" w14:textId="3734CF1F">
            <w:pPr>
              <w:keepNext/>
              <w:rPr>
                <w:rFonts w:ascii="Calibri" w:hAnsi="Calibri" w:cs="Calibri"/>
              </w:rPr>
            </w:pPr>
            <w:r>
              <w:rPr>
                <w:rFonts w:ascii="Calibri" w:hAnsi="Calibri" w:cs="Calibri"/>
              </w:rPr>
              <w:t>X</w:t>
            </w: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CB7FCC" w14:paraId="41CFE03C" w14:textId="7FFAB71E">
            <w:pPr>
              <w:keepNext/>
              <w:rPr>
                <w:rFonts w:ascii="Calibri" w:hAnsi="Calibri" w:cs="Calibri"/>
              </w:rPr>
            </w:pPr>
            <w:r>
              <w:rPr>
                <w:rFonts w:ascii="Calibri" w:hAnsi="Calibri" w:cs="Calibri"/>
              </w:rPr>
              <w:t>X</w:t>
            </w: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CB7FCC" w14:paraId="5164AC81" w14:textId="11A0E391">
            <w:pPr>
              <w:keepNext/>
              <w:rPr>
                <w:rFonts w:ascii="Calibri" w:hAnsi="Calibri" w:cs="Calibri"/>
              </w:rPr>
            </w:pPr>
            <w:r>
              <w:rPr>
                <w:rFonts w:ascii="Calibri" w:hAnsi="Calibri" w:cs="Calibri"/>
              </w:rPr>
              <w:t>X</w:t>
            </w: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41EF8" w14:paraId="1135D553" w14:textId="40E980C5">
            <w:pPr>
              <w:keepNext/>
              <w:rPr>
                <w:rFonts w:ascii="Calibri" w:hAnsi="Calibri" w:cs="Calibri"/>
              </w:rPr>
            </w:pPr>
            <w:r>
              <w:rPr>
                <w:rFonts w:ascii="Calibri" w:hAnsi="Calibri" w:cs="Calibri"/>
              </w:rPr>
              <w:t>X</w:t>
            </w: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41EF8" w14:paraId="3970D0E0" w14:textId="58FDDFB4">
            <w:pPr>
              <w:keepNext/>
              <w:rPr>
                <w:rFonts w:ascii="Calibri" w:hAnsi="Calibri" w:cs="Calibri"/>
              </w:rPr>
            </w:pPr>
            <w:r>
              <w:rPr>
                <w:rFonts w:ascii="Calibri" w:hAnsi="Calibri" w:cs="Calibri"/>
              </w:rPr>
              <w:t>X</w:t>
            </w: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41EF8" w14:paraId="3C133059" w14:textId="1E7BE9F0">
            <w:pPr>
              <w:keepNext/>
              <w:rPr>
                <w:rFonts w:ascii="Calibri" w:hAnsi="Calibri" w:cs="Calibri"/>
              </w:rPr>
            </w:pPr>
            <w:r>
              <w:rPr>
                <w:rFonts w:ascii="Calibri" w:hAnsi="Calibri" w:cs="Calibri"/>
              </w:rPr>
              <w:t>X</w:t>
            </w: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41EF8" w14:paraId="4CF5ABCA" w14:textId="12CA6519">
            <w:pPr>
              <w:keepNext/>
              <w:rPr>
                <w:rFonts w:ascii="Calibri" w:hAnsi="Calibri" w:cs="Calibri"/>
              </w:rPr>
            </w:pPr>
            <w:r>
              <w:rPr>
                <w:rFonts w:ascii="Calibri" w:hAnsi="Calibri" w:cs="Calibri"/>
              </w:rPr>
              <w:t>X</w:t>
            </w: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41EF8" w14:paraId="751F0476" w14:textId="79951970">
            <w:pPr>
              <w:keepNext/>
              <w:rPr>
                <w:rFonts w:ascii="Calibri" w:hAnsi="Calibri" w:cs="Calibri"/>
              </w:rPr>
            </w:pPr>
            <w:r>
              <w:rPr>
                <w:rFonts w:ascii="Calibri" w:hAnsi="Calibri" w:cs="Calibri"/>
              </w:rPr>
              <w:t>X</w:t>
            </w: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41EF8" w14:paraId="52CD3EF6" w14:textId="67FDE814">
            <w:pPr>
              <w:keepNext/>
              <w:rPr>
                <w:rFonts w:ascii="Calibri" w:hAnsi="Calibri" w:cs="Calibri"/>
              </w:rPr>
            </w:pPr>
            <w:r>
              <w:rPr>
                <w:rFonts w:ascii="Calibri" w:hAnsi="Calibri" w:cs="Calibri"/>
              </w:rPr>
              <w:t>X</w:t>
            </w: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41EF8" w14:paraId="1CB56BCA" w14:textId="12BD33FD">
            <w:pPr>
              <w:keepNext/>
              <w:rPr>
                <w:rFonts w:ascii="Calibri" w:hAnsi="Calibri" w:cs="Calibri"/>
              </w:rPr>
            </w:pPr>
            <w:r>
              <w:rPr>
                <w:rFonts w:ascii="Calibri" w:hAnsi="Calibri" w:cs="Calibri"/>
              </w:rPr>
              <w:t>X</w:t>
            </w: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B267E4"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B267E4"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B267E4"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9E0B08" w14:paraId="101E5425" w14:textId="6618F041">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9E0B08" w14:paraId="206E8F7C" w14:textId="65C5D696">
            <w:pPr>
              <w:rPr>
                <w:rFonts w:ascii="Calibri" w:hAnsi="Calibri" w:cs="Calibri"/>
              </w:rPr>
            </w:pPr>
            <w:r>
              <w:rPr>
                <w:rFonts w:ascii="Calibri" w:hAnsi="Calibri" w:cs="Calibri"/>
              </w:rPr>
              <w:t>X</w:t>
            </w: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9E0B08" w14:paraId="772FA653" w14:textId="71C624B0">
            <w:pPr>
              <w:rPr>
                <w:rFonts w:ascii="Calibri" w:hAnsi="Calibri" w:cs="Calibri"/>
              </w:rPr>
            </w:pPr>
            <w:r>
              <w:rPr>
                <w:rFonts w:ascii="Calibri" w:hAnsi="Calibri" w:cs="Calibri"/>
              </w:rPr>
              <w:t>X</w:t>
            </w: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9E0B08" w14:paraId="7E60504E" w14:textId="597A58DD">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9E0B08" w14:paraId="3BA0C0E8" w14:textId="45B009E6">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9E0B08" w14:paraId="7A479C51" w14:textId="0D78A0D0">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5B7A08F3">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5F7905" w14:paraId="04158786" w14:textId="73B6431E">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B267E4"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CE2046" w14:paraId="00B7C4FE" w14:textId="4530D1A2">
            <w:pPr>
              <w:rPr>
                <w:rFonts w:ascii="Calibri" w:hAnsi="Calibri" w:cs="Calibri"/>
              </w:rPr>
            </w:pPr>
            <w:r>
              <w:rPr>
                <w:rFonts w:ascii="Calibri" w:hAnsi="Calibri" w:cs="Calibri"/>
              </w:rPr>
              <w:t>X</w:t>
            </w: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CE2046" w14:paraId="66471C49" w14:textId="7CE7096B">
            <w:pPr>
              <w:rPr>
                <w:rFonts w:ascii="Calibri" w:hAnsi="Calibri" w:cs="Calibri"/>
              </w:rPr>
            </w:pPr>
            <w:r>
              <w:rPr>
                <w:rFonts w:ascii="Calibri" w:hAnsi="Calibri" w:cs="Calibri"/>
              </w:rPr>
              <w:t>X</w:t>
            </w: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CE2046" w14:paraId="23B1AD2E" w14:textId="46613858">
            <w:pPr>
              <w:rPr>
                <w:rFonts w:ascii="Calibri" w:hAnsi="Calibri" w:cs="Calibri"/>
              </w:rPr>
            </w:pPr>
            <w:r>
              <w:rPr>
                <w:rFonts w:ascii="Calibri" w:hAnsi="Calibri" w:cs="Calibri"/>
              </w:rPr>
              <w:t>X</w:t>
            </w: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CE2046" w14:paraId="3C7F283C" w14:textId="1ABB6628">
            <w:pPr>
              <w:rPr>
                <w:rFonts w:ascii="Calibri" w:hAnsi="Calibri" w:cs="Calibri"/>
              </w:rPr>
            </w:pPr>
            <w:r>
              <w:rPr>
                <w:rFonts w:ascii="Calibri" w:hAnsi="Calibri" w:cs="Calibri"/>
              </w:rPr>
              <w:t>X</w:t>
            </w: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1915C6" w14:paraId="66597FF7" w14:textId="0FA5A8A7">
            <w:pPr>
              <w:rPr>
                <w:rFonts w:ascii="Calibri" w:hAnsi="Calibri" w:cs="Calibri"/>
              </w:rPr>
            </w:pPr>
            <w:r>
              <w:rPr>
                <w:rFonts w:ascii="Calibri" w:hAnsi="Calibri" w:cs="Calibri"/>
              </w:rPr>
              <w:t>X</w:t>
            </w: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1915C6" w14:paraId="21829B53" w14:textId="6143B82D">
            <w:pPr>
              <w:rPr>
                <w:rFonts w:ascii="Calibri" w:hAnsi="Calibri" w:cs="Calibri"/>
              </w:rPr>
            </w:pPr>
            <w:r>
              <w:rPr>
                <w:rFonts w:ascii="Calibri" w:hAnsi="Calibri" w:cs="Calibri"/>
              </w:rPr>
              <w:t>X</w:t>
            </w: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1915C6" w14:paraId="62ADDDD1" w14:textId="7DFD884F">
            <w:pPr>
              <w:rPr>
                <w:rFonts w:ascii="Calibri" w:hAnsi="Calibri" w:cs="Calibri"/>
              </w:rPr>
            </w:pPr>
            <w:r>
              <w:rPr>
                <w:rFonts w:ascii="Calibri" w:hAnsi="Calibri" w:cs="Calibri"/>
              </w:rPr>
              <w:t>X</w:t>
            </w: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1915C6" w14:paraId="19ECDEDB" w14:textId="02634978">
            <w:pPr>
              <w:rPr>
                <w:rFonts w:ascii="Calibri" w:hAnsi="Calibri" w:cs="Calibri"/>
              </w:rPr>
            </w:pPr>
            <w:r>
              <w:rPr>
                <w:rFonts w:ascii="Calibri" w:hAnsi="Calibri" w:cs="Calibri"/>
              </w:rPr>
              <w:t>X</w:t>
            </w: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w:t>
              </w:r>
              <w:r w:rsidRPr="00CF2E7C" w:rsidR="009967D9">
                <w:rPr>
                  <w:rStyle w:val="Hipervnculo"/>
                  <w:rFonts w:ascii="Calibri" w:hAnsi="Calibri" w:cs="Calibri"/>
                </w:rPr>
                <w:t xml:space="preserve"> </w:t>
              </w:r>
              <w:r w:rsidRPr="00CF2E7C" w:rsidR="009967D9">
                <w:rPr>
                  <w:rStyle w:val="Hipervnculo"/>
                  <w:rFonts w:ascii="Calibri" w:hAnsi="Calibri" w:cs="Calibri"/>
                </w:rPr>
                <w:t>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CF45C5" w14:paraId="704C027B" w14:textId="5CC7F83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9D6E00" w14:paraId="59711E64" w14:textId="42CB796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9D6E00" w14:paraId="0AE0D8D1" w14:textId="12FC387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9D6E00" w14:paraId="08C74092" w14:textId="710EBF8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9D6E00" w14:paraId="0A35B604" w14:textId="5DD5EAB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9D6E00" w14:paraId="713DD0D8" w14:textId="729A5E7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9D6E00" w14:paraId="6417835F" w14:textId="27281D2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9D6E00" w14:paraId="524BFEA7" w14:textId="48F44F0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9D6E00" w14:paraId="769FA956" w14:textId="5F8930F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A704C" w14:paraId="093659D4" w14:textId="6970D59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F5ECD" w14:paraId="4778BE1E" w14:textId="6F3FC12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7BE2E98F">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7F5ECD" w14:paraId="1FF0C9D4" w14:textId="3763159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6AFC55D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F05AD5">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0C420C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F05AD5">
              <w:rPr>
                <w:rFonts w:ascii="Calibri" w:hAnsi="Calibri" w:eastAsia="Times New Roman" w:cs="Calibri"/>
                <w:kern w:val="0"/>
                <w:lang w:eastAsia="en-GB"/>
                <w14:ligatures w14:val="none"/>
              </w:rPr>
              <w:t>X</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6D7713D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F05AD5">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5CF8D1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F05AD5">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6DEE1A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3825E5">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16AE42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3825E5">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67111D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03F7A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3825E5" w14:paraId="627BDA0A" w14:textId="363967B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657172" w14:paraId="303FA712" w14:textId="705DF58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5FA21D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657172">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6C1425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657172">
              <w:rPr>
                <w:rFonts w:ascii="Calibri" w:hAnsi="Calibri" w:eastAsia="Times New Roman" w:cs="Calibri"/>
                <w:kern w:val="0"/>
                <w:lang w:val="en-SG" w:eastAsia="en-GB"/>
                <w14:ligatures w14:val="none"/>
              </w:rPr>
              <w:t>X</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9408A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657172">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6488B4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5640D8">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5640D8" w14:paraId="2083747E" w14:textId="6B7F763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5640D8" w14:paraId="28BD25CF" w14:textId="13E819E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6A63F1" w14:paraId="2DC356B1" w14:textId="64E8843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252215" w14:paraId="2604891D" w14:textId="2D90A59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05506B" w14:paraId="46830102" w14:textId="60C9F1D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05506B" w14:paraId="4881339D" w14:textId="3E4FED1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05506B" w14:paraId="0E36A0F3" w14:textId="1B4794B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24206E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05506B">
              <w:rPr>
                <w:rFonts w:ascii="Calibri" w:hAnsi="Calibri" w:eastAsia="Times New Roman" w:cs="Calibri"/>
                <w:kern w:val="0"/>
                <w:lang w:val="en-SG" w:eastAsia="en-GB"/>
                <w14:ligatures w14:val="none"/>
              </w:rPr>
              <w:t>X</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286364C5">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4D542E" w14:paraId="4C2594F6" w14:textId="081DA06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014F17" w14:paraId="5F9C9C35" w14:textId="68D595E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014F17" w14:paraId="4C132775" w14:textId="64E4E6D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2E7B2E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492D90">
              <w:rPr>
                <w:rFonts w:ascii="Calibri" w:hAnsi="Calibri" w:eastAsia="Times New Roman" w:cs="Calibri"/>
                <w:kern w:val="0"/>
                <w:lang w:eastAsia="en-GB"/>
                <w14:ligatures w14:val="none"/>
              </w:rPr>
              <w:t>X</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46B669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492D90">
              <w:rPr>
                <w:rFonts w:ascii="Calibri" w:hAnsi="Calibri" w:eastAsia="Times New Roman" w:cs="Calibri"/>
                <w:kern w:val="0"/>
                <w:lang w:eastAsia="en-GB"/>
                <w14:ligatures w14:val="none"/>
              </w:rPr>
              <w:t>X</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3A2A7A" w14:paraId="636B75EC" w14:textId="6BFD935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60E844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F834D1">
              <w:rPr>
                <w:rFonts w:ascii="Calibri" w:hAnsi="Calibri" w:eastAsia="Times New Roman" w:cs="Calibri"/>
                <w:kern w:val="0"/>
                <w:lang w:eastAsia="en-GB"/>
                <w14:ligatures w14:val="none"/>
              </w:rPr>
              <w:t>X</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49A22A6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F834D1">
              <w:rPr>
                <w:rFonts w:ascii="Calibri" w:hAnsi="Calibri" w:eastAsia="Times New Roman" w:cs="Calibri"/>
                <w:kern w:val="0"/>
                <w:lang w:eastAsia="en-GB"/>
                <w14:ligatures w14:val="none"/>
              </w:rPr>
              <w:t>X</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D5479B" w14:paraId="0055121B" w14:textId="4B2723E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D5479B" w14:paraId="500871ED" w14:textId="379877A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605BD0" w14:paraId="08EE0F6A" w14:textId="64C72608">
            <w:pPr>
              <w:textAlignment w:val="baseline"/>
              <w:rPr>
                <w:rFonts w:ascii="Calibri" w:hAnsi="Calibri" w:eastAsia="Times New Roman" w:cs="Calibri"/>
                <w:kern w:val="0"/>
                <w:lang w:eastAsia="en-GB"/>
                <w14:ligatures w14:val="none"/>
              </w:rPr>
            </w:pPr>
            <w:r w:rsidRPr="00605BD0">
              <w:rPr>
                <w:rFonts w:ascii="Calibri" w:hAnsi="Calibri" w:eastAsia="Times New Roman" w:cs="Calibri"/>
                <w:kern w:val="0"/>
                <w:lang w:eastAsia="en-GB"/>
                <w14:ligatures w14:val="none"/>
              </w:rPr>
              <w:t>Circular Externa 008 de 2021 requires regulated entities (such as pension fund administrators and insurers) to update their risk management frameworks to identify, assess, and manage all material risks, including those arising from climate change. This includes revising internal procedures to ensure that climate-related risks—such as those impacting asset liquidity—are incorporated into risk management systems</w:t>
            </w:r>
            <w:r w:rsidR="00137A80">
              <w:rPr>
                <w:rFonts w:ascii="Calibri" w:hAnsi="Calibri" w:eastAsia="Times New Roman" w:cs="Calibri"/>
                <w:kern w:val="0"/>
                <w:lang w:eastAsia="en-GB"/>
                <w14:ligatures w14:val="none"/>
              </w:rPr>
              <w:t>.</w:t>
            </w: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lastRenderedPageBreak/>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2BD361A3">
            <w:pPr>
              <w:rPr>
                <w:rFonts w:cstheme="minorHAnsi"/>
              </w:rPr>
            </w:pPr>
            <w:r w:rsidRPr="009C4D10">
              <w:rPr>
                <w:rFonts w:cstheme="minorHAnsi"/>
                <w:lang w:val="en-SG"/>
              </w:rPr>
              <w:t> </w:t>
            </w:r>
            <w:r w:rsidRPr="009C4D10">
              <w:rPr>
                <w:rFonts w:cstheme="minorHAnsi"/>
              </w:rPr>
              <w:t> </w:t>
            </w:r>
            <w:r w:rsidR="00722DA1">
              <w:rPr>
                <w:rFonts w:cstheme="minorHAnsi"/>
              </w:rPr>
              <w:t>X</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67556BED">
            <w:pPr>
              <w:rPr>
                <w:rFonts w:cstheme="minorHAnsi"/>
              </w:rPr>
            </w:pPr>
            <w:r w:rsidRPr="009C4D10">
              <w:rPr>
                <w:rFonts w:cstheme="minorHAnsi"/>
                <w:lang w:val="en-SG"/>
              </w:rPr>
              <w:t> </w:t>
            </w:r>
            <w:r w:rsidRPr="009C4D10">
              <w:rPr>
                <w:rFonts w:cstheme="minorHAnsi"/>
              </w:rPr>
              <w:t> </w:t>
            </w:r>
            <w:r w:rsidR="00722DA1">
              <w:rPr>
                <w:rFonts w:cstheme="minorHAnsi"/>
              </w:rPr>
              <w:t>X</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531A4866">
            <w:pPr>
              <w:rPr>
                <w:rFonts w:cstheme="minorHAnsi"/>
              </w:rPr>
            </w:pPr>
            <w:r w:rsidRPr="009C4D10">
              <w:rPr>
                <w:rFonts w:cstheme="minorHAnsi"/>
                <w:lang w:val="en-SG"/>
              </w:rPr>
              <w:t> </w:t>
            </w:r>
            <w:r w:rsidRPr="009C4D10">
              <w:rPr>
                <w:rFonts w:cstheme="minorHAnsi"/>
              </w:rPr>
              <w:t> </w:t>
            </w:r>
            <w:r w:rsidR="00722DA1">
              <w:rPr>
                <w:rFonts w:cstheme="minorHAnsi"/>
              </w:rPr>
              <w:t>X</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32586113">
            <w:pPr>
              <w:rPr>
                <w:rFonts w:cstheme="minorHAnsi"/>
              </w:rPr>
            </w:pPr>
            <w:r w:rsidRPr="009C4D10">
              <w:rPr>
                <w:rFonts w:cstheme="minorHAnsi"/>
                <w:lang w:val="en-SG"/>
              </w:rPr>
              <w:t> </w:t>
            </w:r>
            <w:r w:rsidRPr="009C4D10">
              <w:rPr>
                <w:rFonts w:cstheme="minorHAnsi"/>
              </w:rPr>
              <w:t> </w:t>
            </w:r>
            <w:r w:rsidR="00722DA1">
              <w:rPr>
                <w:rFonts w:cstheme="minorHAnsi"/>
              </w:rPr>
              <w:t>X</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0390DE96">
            <w:pPr>
              <w:rPr>
                <w:rFonts w:cstheme="minorHAnsi"/>
              </w:rPr>
            </w:pPr>
            <w:r w:rsidRPr="009C4D10">
              <w:rPr>
                <w:rFonts w:cstheme="minorHAnsi"/>
                <w:lang w:val="en-SG"/>
              </w:rPr>
              <w:t> </w:t>
            </w:r>
            <w:r w:rsidRPr="009C4D10">
              <w:rPr>
                <w:rFonts w:cstheme="minorHAnsi"/>
              </w:rPr>
              <w:t> </w:t>
            </w:r>
            <w:r w:rsidR="00722DA1">
              <w:rPr>
                <w:rFonts w:cstheme="minorHAnsi"/>
              </w:rPr>
              <w:t>X</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67B7DB4F">
            <w:pPr>
              <w:rPr>
                <w:rFonts w:cstheme="minorHAnsi"/>
              </w:rPr>
            </w:pPr>
            <w:r w:rsidRPr="009C4D10">
              <w:rPr>
                <w:rFonts w:cstheme="minorHAnsi"/>
              </w:rPr>
              <w:t>  </w:t>
            </w:r>
            <w:r w:rsidR="00722DA1">
              <w:rPr>
                <w:rFonts w:cstheme="minorHAnsi"/>
              </w:rPr>
              <w:t>X</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13655618">
            <w:pPr>
              <w:rPr>
                <w:rFonts w:cstheme="minorHAnsi"/>
              </w:rPr>
            </w:pPr>
            <w:r w:rsidRPr="009C4D10">
              <w:rPr>
                <w:rFonts w:cstheme="minorHAnsi"/>
                <w:lang w:val="en-SG"/>
              </w:rPr>
              <w:t> </w:t>
            </w:r>
            <w:r w:rsidRPr="009C4D10">
              <w:rPr>
                <w:rFonts w:cstheme="minorHAnsi"/>
              </w:rPr>
              <w:t> </w:t>
            </w:r>
            <w:r w:rsidR="00722DA1">
              <w:rPr>
                <w:rFonts w:cstheme="minorHAnsi"/>
              </w:rPr>
              <w:t>X</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B267E4"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05C06" w:rsidP="00874E39" w:rsidRDefault="00505C06" w14:paraId="40D7967E" w14:textId="77777777">
      <w:r>
        <w:separator/>
      </w:r>
    </w:p>
  </w:endnote>
  <w:endnote w:type="continuationSeparator" w:id="0">
    <w:p w:rsidR="00505C06" w:rsidP="00874E39" w:rsidRDefault="00505C06" w14:paraId="2989C109" w14:textId="77777777">
      <w:r>
        <w:continuationSeparator/>
      </w:r>
    </w:p>
  </w:endnote>
  <w:endnote w:type="continuationNotice" w:id="1">
    <w:p w:rsidR="00505C06" w:rsidRDefault="00505C06" w14:paraId="5757B78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05C06" w:rsidP="00874E39" w:rsidRDefault="00505C06" w14:paraId="1FCC7CDA" w14:textId="77777777">
      <w:r>
        <w:separator/>
      </w:r>
    </w:p>
  </w:footnote>
  <w:footnote w:type="continuationSeparator" w:id="0">
    <w:p w:rsidR="00505C06" w:rsidP="00874E39" w:rsidRDefault="00505C06" w14:paraId="2BFC5FA5" w14:textId="77777777">
      <w:r>
        <w:continuationSeparator/>
      </w:r>
    </w:p>
  </w:footnote>
  <w:footnote w:type="continuationNotice" w:id="1">
    <w:p w:rsidR="00505C06" w:rsidRDefault="00505C06" w14:paraId="47BC018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F17"/>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0E2D"/>
    <w:rsid w:val="000526BB"/>
    <w:rsid w:val="00052CA3"/>
    <w:rsid w:val="0005506B"/>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A80"/>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0D18"/>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5C6"/>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6559"/>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215"/>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9F6"/>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5E5"/>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A7A"/>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392"/>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2D90"/>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42E"/>
    <w:rsid w:val="004D5810"/>
    <w:rsid w:val="004D6484"/>
    <w:rsid w:val="004D7C53"/>
    <w:rsid w:val="004E171D"/>
    <w:rsid w:val="004E4F56"/>
    <w:rsid w:val="004E51B5"/>
    <w:rsid w:val="004F0C55"/>
    <w:rsid w:val="004F276F"/>
    <w:rsid w:val="004F48E8"/>
    <w:rsid w:val="004F5354"/>
    <w:rsid w:val="00501CCF"/>
    <w:rsid w:val="00502833"/>
    <w:rsid w:val="00502C8A"/>
    <w:rsid w:val="00502F7A"/>
    <w:rsid w:val="00504B4A"/>
    <w:rsid w:val="00505115"/>
    <w:rsid w:val="00505C06"/>
    <w:rsid w:val="00505C53"/>
    <w:rsid w:val="00507978"/>
    <w:rsid w:val="0051025C"/>
    <w:rsid w:val="005104B1"/>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0D8"/>
    <w:rsid w:val="00566FDB"/>
    <w:rsid w:val="005675D6"/>
    <w:rsid w:val="00570082"/>
    <w:rsid w:val="00571BA3"/>
    <w:rsid w:val="005722D9"/>
    <w:rsid w:val="005733AF"/>
    <w:rsid w:val="00574C66"/>
    <w:rsid w:val="005758ED"/>
    <w:rsid w:val="00575D67"/>
    <w:rsid w:val="00576A0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905"/>
    <w:rsid w:val="005F7A89"/>
    <w:rsid w:val="005F7AC4"/>
    <w:rsid w:val="00601397"/>
    <w:rsid w:val="0060224F"/>
    <w:rsid w:val="00602D74"/>
    <w:rsid w:val="0060378D"/>
    <w:rsid w:val="00603B3F"/>
    <w:rsid w:val="00605595"/>
    <w:rsid w:val="00605BD0"/>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172"/>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0EF4"/>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3F1"/>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436"/>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DA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ECD"/>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1C90"/>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04C"/>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0ADC"/>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E7F"/>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E00"/>
    <w:rsid w:val="009D7337"/>
    <w:rsid w:val="009D7CB0"/>
    <w:rsid w:val="009E0B08"/>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6B1A"/>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1215"/>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67E4"/>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0B6D"/>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B7FCC"/>
    <w:rsid w:val="00CC1407"/>
    <w:rsid w:val="00CC1872"/>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046"/>
    <w:rsid w:val="00CE46AE"/>
    <w:rsid w:val="00CE6394"/>
    <w:rsid w:val="00CF01F9"/>
    <w:rsid w:val="00CF0A09"/>
    <w:rsid w:val="00CF12B7"/>
    <w:rsid w:val="00CF2E7C"/>
    <w:rsid w:val="00CF3188"/>
    <w:rsid w:val="00CF31E5"/>
    <w:rsid w:val="00CF3B95"/>
    <w:rsid w:val="00CF4338"/>
    <w:rsid w:val="00CF45C5"/>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EF8"/>
    <w:rsid w:val="00D43237"/>
    <w:rsid w:val="00D4323A"/>
    <w:rsid w:val="00D442ED"/>
    <w:rsid w:val="00D448D0"/>
    <w:rsid w:val="00D44C0E"/>
    <w:rsid w:val="00D46116"/>
    <w:rsid w:val="00D46297"/>
    <w:rsid w:val="00D4693D"/>
    <w:rsid w:val="00D46B07"/>
    <w:rsid w:val="00D47404"/>
    <w:rsid w:val="00D510DA"/>
    <w:rsid w:val="00D53F8D"/>
    <w:rsid w:val="00D5479B"/>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373"/>
    <w:rsid w:val="00DE3DC0"/>
    <w:rsid w:val="00DE78F0"/>
    <w:rsid w:val="00DF001D"/>
    <w:rsid w:val="00DF03C3"/>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29E"/>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421"/>
    <w:rsid w:val="00EF56B9"/>
    <w:rsid w:val="00EF5AF0"/>
    <w:rsid w:val="00EF62FD"/>
    <w:rsid w:val="00F0181A"/>
    <w:rsid w:val="00F01EE6"/>
    <w:rsid w:val="00F01F98"/>
    <w:rsid w:val="00F02219"/>
    <w:rsid w:val="00F03665"/>
    <w:rsid w:val="00F03D4C"/>
    <w:rsid w:val="00F04743"/>
    <w:rsid w:val="00F05AD5"/>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34D1"/>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uperfinanciera.gov.co/publicaciones/10104699/industrias-supervisadasfinanzas-sosteniblesdocumentos-tecnicos-y-normativa-10104699/"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E2DDE3-3177-4AB1-BBEA-B8BE01350529}"/>
</file>

<file path=customXml/itemProps2.xml><?xml version="1.0" encoding="utf-8"?>
<ds:datastoreItem xmlns:ds="http://schemas.openxmlformats.org/officeDocument/2006/customXml" ds:itemID="{EFDD7C31-313E-484D-8F9C-2233C6F146A0}"/>
</file>

<file path=customXml/itemProps3.xml><?xml version="1.0" encoding="utf-8"?>
<ds:datastoreItem xmlns:ds="http://schemas.openxmlformats.org/officeDocument/2006/customXml" ds:itemID="{6C854E70-6BA9-47AD-8A3C-A10C5062A0D8}"/>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